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FD6C17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C.04 </w:t>
            </w:r>
            <w:r w:rsidR="00C510F6">
              <w:rPr>
                <w:b/>
                <w:color w:val="FFFFFF" w:themeColor="background1"/>
                <w:sz w:val="18"/>
                <w:szCs w:val="18"/>
              </w:rPr>
              <w:t>COMMERCIEEL MANAGER</w:t>
            </w:r>
            <w:r w:rsidR="008C6063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CA17EF">
              <w:rPr>
                <w:color w:val="FFFFFF" w:themeColor="background1"/>
                <w:sz w:val="18"/>
                <w:szCs w:val="18"/>
              </w:rPr>
              <w:t>c</w:t>
            </w:r>
            <w:r w:rsidR="00C510F6">
              <w:rPr>
                <w:color w:val="FFFFFF" w:themeColor="background1"/>
                <w:sz w:val="18"/>
                <w:szCs w:val="18"/>
              </w:rPr>
              <w:t>ommercie</w:t>
            </w:r>
          </w:p>
        </w:tc>
      </w:tr>
      <w:tr w:rsidR="008A4466" w:rsidRPr="00EA6EFB" w:rsidTr="00C510F6">
        <w:trPr>
          <w:trHeight w:val="19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317833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317833" w:rsidRPr="00D06CB4" w:rsidRDefault="00317833" w:rsidP="00317833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4718C">
              <w:rPr>
                <w:rFonts w:cs="Arial"/>
                <w:sz w:val="18"/>
                <w:szCs w:val="18"/>
              </w:rPr>
              <w:t>binnen een sportbond</w:t>
            </w:r>
            <w:r>
              <w:rPr>
                <w:rFonts w:cs="Arial"/>
                <w:sz w:val="18"/>
                <w:szCs w:val="18"/>
              </w:rPr>
              <w:t xml:space="preserve"> die zich inzet</w:t>
            </w:r>
            <w:r w:rsidRPr="00E4718C">
              <w:rPr>
                <w:rFonts w:cs="Arial"/>
                <w:sz w:val="18"/>
                <w:szCs w:val="18"/>
              </w:rPr>
              <w:t xml:space="preserve">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voor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500)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aangesloten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verenigingen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en (top)sporters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150.000)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op het gebied van accommodatie, opleiding, promotie v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an de sport en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sportontwikkeling (breedtesport)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. Daarnaast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behartigt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ze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de belangen van de topsport ten behoeve van uitzendingen naar EK’s, WK’s en Olympische spelen.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Er zijn in totaal ongeveer 75 medewerkers werkzaam bij de bond. Daarnaast zijn veel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vrijwilligers actief in commissies en werkgroepen.</w:t>
            </w:r>
          </w:p>
          <w:p w:rsidR="004A5156" w:rsidRPr="00EA6EFB" w:rsidRDefault="00B92DDE" w:rsidP="00317833">
            <w:pPr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</w:t>
            </w:r>
            <w:r w:rsidR="00C510F6">
              <w:rPr>
                <w:color w:val="000000" w:themeColor="text1"/>
                <w:sz w:val="18"/>
                <w:szCs w:val="18"/>
              </w:rPr>
              <w:t xml:space="preserve"> commerciële afdeling is verantwoordelijk voor de </w:t>
            </w:r>
            <w:r w:rsidR="00A53274">
              <w:rPr>
                <w:color w:val="000000" w:themeColor="text1"/>
                <w:sz w:val="18"/>
                <w:szCs w:val="18"/>
              </w:rPr>
              <w:t>het genereren van middelen door sponsoring en commerciële samenwerkingen met partners.</w:t>
            </w:r>
            <w:r w:rsidR="00392B55">
              <w:rPr>
                <w:color w:val="000000" w:themeColor="text1"/>
                <w:sz w:val="18"/>
                <w:szCs w:val="18"/>
              </w:rPr>
              <w:t xml:space="preserve"> </w:t>
            </w:r>
            <w:r w:rsidR="00202E89">
              <w:rPr>
                <w:color w:val="000000" w:themeColor="text1"/>
                <w:sz w:val="18"/>
                <w:szCs w:val="18"/>
              </w:rPr>
              <w:t xml:space="preserve">De commercieel manager </w:t>
            </w:r>
            <w:r w:rsidR="007D1611">
              <w:rPr>
                <w:color w:val="000000" w:themeColor="text1"/>
                <w:sz w:val="18"/>
                <w:szCs w:val="18"/>
              </w:rPr>
              <w:t xml:space="preserve">II </w:t>
            </w:r>
            <w:r w:rsidR="00202E89">
              <w:rPr>
                <w:color w:val="000000" w:themeColor="text1"/>
                <w:sz w:val="18"/>
                <w:szCs w:val="18"/>
              </w:rPr>
              <w:t xml:space="preserve">zorgt voor de ontwikkeling van commerciële plannen en sponsorbeleid, aansluitend op de organisatiestrategie en -doelstellingen en trends en ontwikkelingen in de branche/op het vakgebied. Vervolgens is hij verantwoordelijk voor het realiseren van plannen en doelstellingen, i.c. het werven </w:t>
            </w:r>
            <w:r w:rsidR="007516AD">
              <w:rPr>
                <w:color w:val="000000" w:themeColor="text1"/>
                <w:sz w:val="18"/>
                <w:szCs w:val="18"/>
              </w:rPr>
              <w:t>va</w:t>
            </w:r>
            <w:r w:rsidR="00202E89">
              <w:rPr>
                <w:color w:val="000000" w:themeColor="text1"/>
                <w:sz w:val="18"/>
                <w:szCs w:val="18"/>
              </w:rPr>
              <w:t>n nieuwe en behouden/uitbouwen va</w:t>
            </w:r>
            <w:r w:rsidR="007516AD">
              <w:rPr>
                <w:color w:val="000000" w:themeColor="text1"/>
                <w:sz w:val="18"/>
                <w:szCs w:val="18"/>
              </w:rPr>
              <w:t xml:space="preserve">n bestaande sponsor(contract)en en relaties met </w:t>
            </w:r>
            <w:r w:rsidR="00202E89">
              <w:rPr>
                <w:color w:val="000000" w:themeColor="text1"/>
                <w:sz w:val="18"/>
                <w:szCs w:val="18"/>
              </w:rPr>
              <w:t>commerciële partners. Daarbij richt hij zich met name op de grote (key) sponsors/partners</w:t>
            </w:r>
            <w:r w:rsidR="007516AD">
              <w:rPr>
                <w:color w:val="000000" w:themeColor="text1"/>
                <w:sz w:val="18"/>
                <w:szCs w:val="18"/>
              </w:rPr>
              <w:t>;</w:t>
            </w:r>
            <w:r w:rsidR="00202E89">
              <w:rPr>
                <w:color w:val="000000" w:themeColor="text1"/>
                <w:sz w:val="18"/>
                <w:szCs w:val="18"/>
              </w:rPr>
              <w:t xml:space="preserve"> de kleine en middelgrote sponsoren worden geworven en beheerd door de </w:t>
            </w:r>
            <w:r>
              <w:rPr>
                <w:color w:val="000000" w:themeColor="text1"/>
                <w:sz w:val="18"/>
                <w:szCs w:val="18"/>
              </w:rPr>
              <w:t>commercieel medewerker</w:t>
            </w:r>
            <w:r w:rsidR="00731C1C">
              <w:rPr>
                <w:color w:val="000000" w:themeColor="text1"/>
                <w:sz w:val="18"/>
                <w:szCs w:val="18"/>
              </w:rPr>
              <w:t>(s)</w:t>
            </w:r>
            <w:r w:rsidR="00202E89">
              <w:rPr>
                <w:color w:val="000000" w:themeColor="text1"/>
                <w:sz w:val="18"/>
                <w:szCs w:val="18"/>
              </w:rPr>
              <w:t xml:space="preserve">. Functiehouder </w:t>
            </w:r>
            <w:r w:rsidR="007516AD">
              <w:rPr>
                <w:color w:val="000000" w:themeColor="text1"/>
                <w:sz w:val="18"/>
                <w:szCs w:val="18"/>
              </w:rPr>
              <w:t>voert</w:t>
            </w:r>
            <w:r w:rsidR="00202E89">
              <w:rPr>
                <w:color w:val="000000" w:themeColor="text1"/>
                <w:sz w:val="18"/>
                <w:szCs w:val="18"/>
              </w:rPr>
              <w:t xml:space="preserve"> onderhandelingen over contracten, zorgt voor uitvoering/naleving door de organisatie en fungeert als aanspreekpunt voor sponsors/partners.</w:t>
            </w:r>
            <w:r w:rsidR="00DE6734">
              <w:rPr>
                <w:color w:val="000000" w:themeColor="text1"/>
                <w:sz w:val="18"/>
                <w:szCs w:val="18"/>
              </w:rPr>
              <w:t xml:space="preserve"> Maakt deel uit van het MT.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7B1B46" w:rsidP="00A51B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Ontwikkelen van plannen en realiseren</w:t>
            </w:r>
            <w:r w:rsidR="00A53274">
              <w:rPr>
                <w:color w:val="000000" w:themeColor="text1"/>
                <w:sz w:val="18"/>
                <w:szCs w:val="18"/>
              </w:rPr>
              <w:t xml:space="preserve"> van doelstellingen ten aanzien van het genereren van middelen door sponsoring en commerciële samenwerkingen.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EA6EFB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EA6EFB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C510F6">
              <w:rPr>
                <w:color w:val="000000" w:themeColor="text1"/>
                <w:sz w:val="18"/>
                <w:szCs w:val="18"/>
                <w:lang w:bidi="x-none"/>
              </w:rPr>
              <w:t>algemeen directeur</w:t>
            </w:r>
          </w:p>
          <w:p w:rsidR="00D47F61" w:rsidRPr="00EA6EFB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B672C7">
              <w:rPr>
                <w:color w:val="000000" w:themeColor="text1"/>
                <w:sz w:val="18"/>
                <w:szCs w:val="18"/>
                <w:lang w:bidi="x-none"/>
              </w:rPr>
              <w:t>meerdere medewerkers van verschillende subdisciplines. (marketing, sponsoring etc.)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346AD4" w:rsidRPr="00EA6EFB" w:rsidTr="00FA7FCF">
        <w:trPr>
          <w:trHeight w:val="19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C43" w:rsidRPr="00EA6EFB" w:rsidRDefault="00051C43" w:rsidP="00A51BFC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EA6EFB">
              <w:rPr>
                <w:b/>
                <w:color w:val="auto"/>
                <w:sz w:val="18"/>
                <w:szCs w:val="18"/>
              </w:rPr>
              <w:t>1.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FA7FCF">
              <w:rPr>
                <w:b/>
                <w:color w:val="auto"/>
                <w:sz w:val="18"/>
                <w:szCs w:val="18"/>
              </w:rPr>
              <w:t>Commerciële planvorming</w:t>
            </w:r>
          </w:p>
          <w:p w:rsidR="002E33B9" w:rsidRPr="00EA6EFB" w:rsidRDefault="00325124" w:rsidP="00A51BF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121283">
              <w:rPr>
                <w:color w:val="auto"/>
                <w:sz w:val="18"/>
                <w:szCs w:val="18"/>
              </w:rPr>
              <w:t xml:space="preserve">Aansluitend op de organisatiestrategie en -doelstellingen en gesignaleerde trends en ontwikkelingen op het eigen vakgebied en binnen de </w:t>
            </w:r>
            <w:r w:rsidR="004A5156">
              <w:rPr>
                <w:color w:val="auto"/>
                <w:sz w:val="18"/>
                <w:szCs w:val="18"/>
              </w:rPr>
              <w:t xml:space="preserve">sportwereld zijn commerciële plannen opgesteld gericht op het genereren van middelen door sponsoring en commerciële samenwerkingen met partners. </w:t>
            </w:r>
            <w:r w:rsidR="003A231F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5156" w:rsidRDefault="004A5156" w:rsidP="004A515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aansluitend op organisatiestrategie, -doelstellingen, trends en ontwikkelingen;</w:t>
            </w:r>
          </w:p>
          <w:p w:rsidR="00051C43" w:rsidRDefault="002E33B9" w:rsidP="004A515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4A5156">
              <w:rPr>
                <w:color w:val="auto"/>
                <w:sz w:val="18"/>
                <w:szCs w:val="18"/>
              </w:rPr>
              <w:t>onderbouwing, haalbaarheid van doelstellingen;</w:t>
            </w:r>
          </w:p>
          <w:p w:rsidR="004A5156" w:rsidRDefault="004A5156" w:rsidP="004A515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mate waarin doelen concreet en uitdagend zijn;</w:t>
            </w:r>
          </w:p>
          <w:p w:rsidR="004A5156" w:rsidRPr="00EA6EFB" w:rsidRDefault="004A5156" w:rsidP="004A515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acceptatie/overname plannen.</w:t>
            </w:r>
          </w:p>
        </w:tc>
      </w:tr>
      <w:tr w:rsidR="003A231F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8A6372">
              <w:rPr>
                <w:b/>
                <w:color w:val="auto"/>
                <w:sz w:val="18"/>
                <w:szCs w:val="18"/>
              </w:rPr>
              <w:t>Beschikbaarheid en toepassing s</w:t>
            </w:r>
            <w:r w:rsidR="00FA7FCF">
              <w:rPr>
                <w:b/>
                <w:color w:val="auto"/>
                <w:sz w:val="18"/>
                <w:szCs w:val="18"/>
              </w:rPr>
              <w:t>ponsorbeleid</w:t>
            </w:r>
          </w:p>
          <w:p w:rsidR="004A5156" w:rsidRPr="00EA6EFB" w:rsidRDefault="003A231F" w:rsidP="004A515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4A5156">
              <w:rPr>
                <w:color w:val="auto"/>
                <w:sz w:val="18"/>
                <w:szCs w:val="18"/>
              </w:rPr>
              <w:t xml:space="preserve">De bond beschikt over </w:t>
            </w:r>
            <w:r w:rsidR="008A6372">
              <w:rPr>
                <w:color w:val="auto"/>
                <w:sz w:val="18"/>
                <w:szCs w:val="18"/>
              </w:rPr>
              <w:t xml:space="preserve">een actueel sponsorbeleid waarin proposities richting en richtlijnen en uitgangspunten voor </w:t>
            </w:r>
            <w:r w:rsidR="00A53274">
              <w:rPr>
                <w:color w:val="auto"/>
                <w:sz w:val="18"/>
                <w:szCs w:val="18"/>
              </w:rPr>
              <w:t xml:space="preserve">contracten met </w:t>
            </w:r>
            <w:r w:rsidR="008A6372">
              <w:rPr>
                <w:color w:val="auto"/>
                <w:sz w:val="18"/>
                <w:szCs w:val="18"/>
              </w:rPr>
              <w:t>(potentiële) sponsoren en commerciële partners zijn uitgewerkt.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8A6372">
              <w:rPr>
                <w:color w:val="auto"/>
                <w:sz w:val="18"/>
                <w:szCs w:val="18"/>
              </w:rPr>
              <w:t>aansluitend op commerciële plannen, doelstellingen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3A231F" w:rsidRDefault="008A6372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beschikbaarheid sponsorbeleid</w:t>
            </w:r>
            <w:r w:rsidR="003A231F">
              <w:rPr>
                <w:color w:val="auto"/>
                <w:sz w:val="18"/>
                <w:szCs w:val="18"/>
              </w:rPr>
              <w:t>;</w:t>
            </w:r>
          </w:p>
          <w:p w:rsidR="003A231F" w:rsidRPr="00EA6EFB" w:rsidRDefault="008A6372" w:rsidP="00FA7FC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consistentie toepassing</w:t>
            </w:r>
            <w:r w:rsidR="003A231F">
              <w:rPr>
                <w:color w:val="auto"/>
                <w:sz w:val="18"/>
                <w:szCs w:val="18"/>
              </w:rPr>
              <w:t>.</w:t>
            </w:r>
          </w:p>
        </w:tc>
      </w:tr>
      <w:tr w:rsidR="00101C07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Default="00101C07" w:rsidP="00101C0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3.</w:t>
            </w:r>
            <w:r>
              <w:rPr>
                <w:b/>
                <w:color w:val="auto"/>
                <w:sz w:val="18"/>
                <w:szCs w:val="18"/>
              </w:rPr>
              <w:tab/>
              <w:t>Beschikbaarheid randvoorwaarden</w:t>
            </w:r>
          </w:p>
          <w:p w:rsidR="00101C07" w:rsidRDefault="00101C07" w:rsidP="00101C0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ab/>
            </w:r>
            <w:r w:rsidRPr="003C7794">
              <w:rPr>
                <w:rFonts w:cs="Arial"/>
                <w:color w:val="auto"/>
                <w:sz w:val="18"/>
                <w:szCs w:val="18"/>
              </w:rPr>
              <w:t xml:space="preserve">De afdeling beschikt over de randvoorwaarden (processen, procedures, middelen, systemen, bezetting e.d.) voor het realiseren van </w:t>
            </w:r>
            <w:r>
              <w:rPr>
                <w:rFonts w:cs="Arial"/>
                <w:color w:val="auto"/>
                <w:sz w:val="18"/>
                <w:szCs w:val="18"/>
              </w:rPr>
              <w:t>de bijdragen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 xml:space="preserve"> vanuit de afdelingsverantwoordelijkheid.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3C7794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-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ab/>
              <w:t>aard/omvang procesverstoringen, ineffectiviteit, in efficiency e.d. door ontbreken randvoorwaarden;</w:t>
            </w:r>
          </w:p>
          <w:p w:rsidR="00101C07" w:rsidRPr="003C7794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-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ab/>
              <w:t>tijdige bijsturing c.q. escalatie bij (dreigende) issues.</w:t>
            </w:r>
          </w:p>
        </w:tc>
      </w:tr>
      <w:tr w:rsidR="00101C07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EA6EFB" w:rsidRDefault="00101C07" w:rsidP="00101C0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Gerealiseerde sponsoring/commerciële samenwerkingen</w:t>
            </w:r>
          </w:p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De bond beschikt over de gewenste (financiële middelen voortkomend uit) sponsoren en commerciële samenwerkingen waarbij sponsorafspraken aansluiten op het vastgestelde sponsorbeleid en daarmee haalbaar/realiseerbaar zijn voor de organisatie.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ontwikkeling bestand van sponsoren/commerciële partners;</w:t>
            </w:r>
          </w:p>
          <w:p w:rsidR="00101C07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(ontwikkeling) inkomsten uit sponsoring/ samenwerkingen;</w:t>
            </w:r>
          </w:p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‘saleskosten’ in % van gerealiseerde inkomsten;</w:t>
            </w:r>
          </w:p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scoringspercentage.</w:t>
            </w:r>
          </w:p>
        </w:tc>
      </w:tr>
    </w:tbl>
    <w:p w:rsidR="00317833" w:rsidRDefault="00317833">
      <w:r>
        <w:br w:type="page"/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101C07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EA6EFB" w:rsidRDefault="00101C07" w:rsidP="00101C0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5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Organisatie sponsorevenementen en -bijeenkomsten</w:t>
            </w:r>
          </w:p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C42A6A">
              <w:rPr>
                <w:color w:val="auto"/>
                <w:sz w:val="18"/>
                <w:szCs w:val="18"/>
              </w:rPr>
              <w:t xml:space="preserve">Er is invulling en uitvoering gegeven aan specifieke evenementen en bijeenkomsten voor sponsoren en commerciële partners </w:t>
            </w:r>
            <w:r w:rsidR="00202E89">
              <w:rPr>
                <w:color w:val="auto"/>
                <w:sz w:val="18"/>
                <w:szCs w:val="18"/>
              </w:rPr>
              <w:t xml:space="preserve">waarbij commerciële kansen en mogelijkheden optimaal zijn </w:t>
            </w:r>
            <w:r w:rsidR="00475FA9">
              <w:rPr>
                <w:color w:val="auto"/>
                <w:sz w:val="18"/>
                <w:szCs w:val="18"/>
              </w:rPr>
              <w:t>be</w:t>
            </w:r>
            <w:r w:rsidR="00202E89">
              <w:rPr>
                <w:color w:val="auto"/>
                <w:sz w:val="18"/>
                <w:szCs w:val="18"/>
              </w:rPr>
              <w:t>nut</w:t>
            </w:r>
            <w:r w:rsidR="00475FA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B1B46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7B1B46">
              <w:rPr>
                <w:color w:val="auto"/>
                <w:sz w:val="18"/>
                <w:szCs w:val="18"/>
              </w:rPr>
              <w:t>aansluitend op doelstellingen, behoeften;</w:t>
            </w:r>
          </w:p>
          <w:p w:rsidR="00101C07" w:rsidRDefault="007B1B46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mate van vernieuwing</w:t>
            </w:r>
            <w:r w:rsidR="00101C07">
              <w:rPr>
                <w:color w:val="auto"/>
                <w:sz w:val="18"/>
                <w:szCs w:val="18"/>
              </w:rPr>
              <w:t>;</w:t>
            </w:r>
          </w:p>
          <w:p w:rsidR="00101C07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7B1B46">
              <w:rPr>
                <w:color w:val="auto"/>
                <w:sz w:val="18"/>
                <w:szCs w:val="18"/>
              </w:rPr>
              <w:t>realisatie conform plan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101C07" w:rsidRDefault="007B1B46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aantal en opkomst bezoekers/sponsoren/partners;</w:t>
            </w:r>
          </w:p>
          <w:p w:rsidR="007B1B46" w:rsidRPr="00EA6EFB" w:rsidRDefault="007B1B46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reacties bezoekers.</w:t>
            </w:r>
          </w:p>
        </w:tc>
      </w:tr>
      <w:tr w:rsidR="00101C07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Default="00101C07" w:rsidP="00101C07">
            <w:pPr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01C07">
              <w:rPr>
                <w:rFonts w:cs="Arial"/>
                <w:b/>
                <w:color w:val="auto"/>
                <w:sz w:val="18"/>
                <w:szCs w:val="18"/>
              </w:rPr>
              <w:t>6.</w:t>
            </w:r>
            <w:r w:rsidRPr="00101C07">
              <w:rPr>
                <w:rFonts w:cs="Arial"/>
                <w:b/>
                <w:color w:val="auto"/>
                <w:sz w:val="18"/>
                <w:szCs w:val="18"/>
              </w:rPr>
              <w:tab/>
              <w:t>Relatiebeheer</w:t>
            </w:r>
          </w:p>
          <w:p w:rsidR="00101C07" w:rsidRPr="00101C07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ab/>
            </w:r>
            <w:r>
              <w:rPr>
                <w:rFonts w:cs="Arial"/>
                <w:color w:val="auto"/>
                <w:sz w:val="18"/>
                <w:szCs w:val="18"/>
              </w:rPr>
              <w:t xml:space="preserve">Contacten met sponsoren en samenwerkingspartners zijn adequaat onderhouden en tactische afstemming en samenwerking </w:t>
            </w:r>
            <w:r w:rsidR="00C42A6A">
              <w:rPr>
                <w:rFonts w:cs="Arial"/>
                <w:color w:val="auto"/>
                <w:sz w:val="18"/>
                <w:szCs w:val="18"/>
              </w:rPr>
              <w:t xml:space="preserve">t.b.v. de realisatie van sponsorafspraken </w:t>
            </w:r>
            <w:r>
              <w:rPr>
                <w:rFonts w:cs="Arial"/>
                <w:color w:val="auto"/>
                <w:sz w:val="18"/>
                <w:szCs w:val="18"/>
              </w:rPr>
              <w:t>zijn effectief ingevuld, waardoor relaties met sponsoren/partners zijn bestendigd en waar mogelijk uitgebouwd.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Default="00C42A6A" w:rsidP="00475FA9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inzicht in stand van zaken relaties;</w:t>
            </w:r>
          </w:p>
          <w:p w:rsidR="00C42A6A" w:rsidRDefault="00C42A6A" w:rsidP="00475FA9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effectiviteit communicatie, samenwerking;</w:t>
            </w:r>
          </w:p>
          <w:p w:rsidR="00101C07" w:rsidRPr="00101C07" w:rsidRDefault="00101C07" w:rsidP="00475FA9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draagvlak/acceptatie bij relaties voor standpunten, plannen, voorstellen.</w:t>
            </w:r>
          </w:p>
        </w:tc>
      </w:tr>
      <w:tr w:rsidR="00101C07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404DDE" w:rsidRDefault="00101C07" w:rsidP="00101C07">
            <w:pPr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7</w:t>
            </w:r>
            <w:r w:rsidRPr="00404DDE">
              <w:rPr>
                <w:rFonts w:cs="Arial"/>
                <w:b/>
                <w:color w:val="auto"/>
                <w:sz w:val="18"/>
                <w:szCs w:val="18"/>
              </w:rPr>
              <w:t>.</w:t>
            </w:r>
            <w:r w:rsidRPr="00404DDE">
              <w:rPr>
                <w:rFonts w:cs="Arial"/>
                <w:b/>
                <w:color w:val="auto"/>
                <w:sz w:val="18"/>
                <w:szCs w:val="18"/>
              </w:rPr>
              <w:tab/>
              <w:t>Personeelsbeheer</w:t>
            </w:r>
          </w:p>
          <w:p w:rsidR="00101C07" w:rsidRPr="00404DDE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404DDE">
              <w:rPr>
                <w:rFonts w:cs="Arial"/>
                <w:color w:val="auto"/>
                <w:sz w:val="18"/>
                <w:szCs w:val="18"/>
              </w:rPr>
              <w:tab/>
              <w:t xml:space="preserve">De resultaatbijdragen, ontwikkeling, betrokkenheid en motivatie van </w:t>
            </w:r>
            <w:r w:rsidR="00475FA9">
              <w:rPr>
                <w:rFonts w:cs="Arial"/>
                <w:color w:val="auto"/>
                <w:sz w:val="18"/>
                <w:szCs w:val="18"/>
              </w:rPr>
              <w:t>de assistent HRM zijn</w:t>
            </w:r>
            <w:r w:rsidRPr="00404DDE">
              <w:rPr>
                <w:rFonts w:cs="Arial"/>
                <w:color w:val="auto"/>
                <w:sz w:val="18"/>
                <w:szCs w:val="18"/>
              </w:rPr>
              <w:t xml:space="preserve"> effectief aangestuurd.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404DDE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-</w:t>
            </w:r>
            <w:r>
              <w:rPr>
                <w:rFonts w:cs="Arial"/>
                <w:color w:val="auto"/>
                <w:sz w:val="18"/>
                <w:szCs w:val="18"/>
              </w:rPr>
              <w:tab/>
              <w:t>feitelijke bijdragen t.o.v. afspraken</w:t>
            </w:r>
            <w:r w:rsidRPr="00404DDE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101C07" w:rsidRPr="00404DDE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404DDE">
              <w:rPr>
                <w:rFonts w:cs="Arial"/>
                <w:color w:val="auto"/>
                <w:sz w:val="18"/>
                <w:szCs w:val="18"/>
              </w:rPr>
              <w:t>-</w:t>
            </w:r>
            <w:r w:rsidRPr="00404DDE">
              <w:rPr>
                <w:rFonts w:cs="Arial"/>
                <w:color w:val="auto"/>
                <w:sz w:val="18"/>
                <w:szCs w:val="18"/>
              </w:rPr>
              <w:tab/>
              <w:t>feitelijke inzet/ontwikkeling t.o.v. afspraken;</w:t>
            </w:r>
          </w:p>
          <w:p w:rsidR="00101C07" w:rsidRPr="00404DDE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404DDE">
              <w:rPr>
                <w:rFonts w:cs="Arial"/>
                <w:color w:val="auto"/>
                <w:sz w:val="18"/>
                <w:szCs w:val="18"/>
              </w:rPr>
              <w:t>-</w:t>
            </w:r>
            <w:r w:rsidRPr="00404DDE">
              <w:rPr>
                <w:rFonts w:cs="Arial"/>
                <w:color w:val="auto"/>
                <w:sz w:val="18"/>
                <w:szCs w:val="18"/>
              </w:rPr>
              <w:tab/>
            </w:r>
            <w:r>
              <w:rPr>
                <w:rFonts w:cs="Arial"/>
                <w:color w:val="auto"/>
                <w:sz w:val="18"/>
                <w:szCs w:val="18"/>
              </w:rPr>
              <w:t>conform HR-beleid</w:t>
            </w:r>
            <w:r w:rsidRPr="00404DDE">
              <w:rPr>
                <w:rFonts w:cs="Arial"/>
                <w:color w:val="auto"/>
                <w:sz w:val="18"/>
                <w:szCs w:val="18"/>
              </w:rPr>
              <w:t>.</w:t>
            </w:r>
          </w:p>
        </w:tc>
      </w:tr>
      <w:tr w:rsidR="00101C07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3C7794" w:rsidRDefault="00101C07" w:rsidP="00101C07">
            <w:pPr>
              <w:spacing w:line="240" w:lineRule="auto"/>
              <w:rPr>
                <w:rFonts w:cs="Arial"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8.</w:t>
            </w:r>
            <w:r>
              <w:rPr>
                <w:rFonts w:cs="Arial"/>
                <w:b/>
                <w:color w:val="auto"/>
                <w:sz w:val="18"/>
                <w:szCs w:val="18"/>
              </w:rPr>
              <w:tab/>
            </w:r>
            <w:r w:rsidRPr="003C7794">
              <w:rPr>
                <w:rFonts w:cs="Arial"/>
                <w:b/>
                <w:color w:val="auto"/>
                <w:sz w:val="18"/>
                <w:szCs w:val="18"/>
              </w:rPr>
              <w:t>Rapportage &amp; verantwoording</w:t>
            </w:r>
          </w:p>
          <w:p w:rsidR="00101C07" w:rsidRPr="003C7794" w:rsidRDefault="00101C07" w:rsidP="00101C07">
            <w:pPr>
              <w:spacing w:line="240" w:lineRule="auto"/>
              <w:ind w:left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De resultaten van de afdeling zijn intern gerapporteerd en verantwoord, waarbij inzicht is gegeven in de oorzaak van afwijki</w:t>
            </w:r>
            <w:r>
              <w:rPr>
                <w:rFonts w:cs="Arial"/>
                <w:color w:val="auto"/>
                <w:sz w:val="18"/>
                <w:szCs w:val="18"/>
              </w:rPr>
              <w:t>ngen t.a.v. plannen, doelen, KPI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>’s en begroting.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3C7794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-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ab/>
              <w:t>beschikbaarheid rapportages;</w:t>
            </w:r>
          </w:p>
          <w:p w:rsidR="00101C07" w:rsidRPr="003C7794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-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ab/>
              <w:t>inzicht in resultaten en oorzaak van afwijkingen;</w:t>
            </w:r>
          </w:p>
          <w:p w:rsidR="00101C07" w:rsidRPr="003C7794" w:rsidRDefault="00101C07" w:rsidP="00101C07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3C7794">
              <w:rPr>
                <w:rFonts w:cs="Arial"/>
                <w:color w:val="auto"/>
                <w:sz w:val="18"/>
                <w:szCs w:val="18"/>
              </w:rPr>
              <w:t>-</w:t>
            </w:r>
            <w:r w:rsidRPr="003C7794">
              <w:rPr>
                <w:rFonts w:cs="Arial"/>
                <w:color w:val="auto"/>
                <w:sz w:val="18"/>
                <w:szCs w:val="18"/>
              </w:rPr>
              <w:tab/>
              <w:t>basis voor bijsturing van bedrijfsvoering.</w:t>
            </w:r>
          </w:p>
        </w:tc>
      </w:tr>
      <w:tr w:rsidR="00101C07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101C07" w:rsidRPr="00EA6EFB" w:rsidRDefault="00101C07" w:rsidP="00101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6A" w:rsidRDefault="003A2B6A" w:rsidP="001073D2">
      <w:pPr>
        <w:spacing w:line="240" w:lineRule="auto"/>
      </w:pPr>
      <w:r>
        <w:separator/>
      </w:r>
    </w:p>
  </w:endnote>
  <w:endnote w:type="continuationSeparator" w:id="0">
    <w:p w:rsidR="003A2B6A" w:rsidRDefault="003A2B6A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BD123B">
      <w:rPr>
        <w:color w:val="auto"/>
        <w:sz w:val="16"/>
      </w:rPr>
      <w:t>1510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6A" w:rsidRDefault="003A2B6A" w:rsidP="001073D2">
      <w:pPr>
        <w:spacing w:line="240" w:lineRule="auto"/>
      </w:pPr>
      <w:r>
        <w:separator/>
      </w:r>
    </w:p>
  </w:footnote>
  <w:footnote w:type="continuationSeparator" w:id="0">
    <w:p w:rsidR="003A2B6A" w:rsidRDefault="003A2B6A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C7445"/>
    <w:multiLevelType w:val="hybridMultilevel"/>
    <w:tmpl w:val="1BB43660"/>
    <w:lvl w:ilvl="0" w:tplc="529A50E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A0C38"/>
    <w:multiLevelType w:val="hybridMultilevel"/>
    <w:tmpl w:val="C1266D6A"/>
    <w:lvl w:ilvl="0" w:tplc="BC2EE47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6"/>
    <w:rsid w:val="00013FFA"/>
    <w:rsid w:val="00022563"/>
    <w:rsid w:val="00040B6A"/>
    <w:rsid w:val="00051C43"/>
    <w:rsid w:val="00053F25"/>
    <w:rsid w:val="0006753D"/>
    <w:rsid w:val="00075FF0"/>
    <w:rsid w:val="0008707B"/>
    <w:rsid w:val="000A4E2C"/>
    <w:rsid w:val="000C1D4D"/>
    <w:rsid w:val="000D3202"/>
    <w:rsid w:val="000F5020"/>
    <w:rsid w:val="00101C07"/>
    <w:rsid w:val="00104B2A"/>
    <w:rsid w:val="00107BB5"/>
    <w:rsid w:val="001133FD"/>
    <w:rsid w:val="00121283"/>
    <w:rsid w:val="00121D7A"/>
    <w:rsid w:val="00132C5B"/>
    <w:rsid w:val="00140BCD"/>
    <w:rsid w:val="00146FF6"/>
    <w:rsid w:val="001603C7"/>
    <w:rsid w:val="00161FEA"/>
    <w:rsid w:val="00182624"/>
    <w:rsid w:val="0019223A"/>
    <w:rsid w:val="001D08A5"/>
    <w:rsid w:val="001D2817"/>
    <w:rsid w:val="001D5401"/>
    <w:rsid w:val="001F08A7"/>
    <w:rsid w:val="00202E89"/>
    <w:rsid w:val="00262F78"/>
    <w:rsid w:val="00270359"/>
    <w:rsid w:val="00276091"/>
    <w:rsid w:val="0028588A"/>
    <w:rsid w:val="00290ACF"/>
    <w:rsid w:val="002A6A1A"/>
    <w:rsid w:val="002C683A"/>
    <w:rsid w:val="002D200C"/>
    <w:rsid w:val="002E33B9"/>
    <w:rsid w:val="002E7FFB"/>
    <w:rsid w:val="002F5CB3"/>
    <w:rsid w:val="00302BD4"/>
    <w:rsid w:val="00310C75"/>
    <w:rsid w:val="00314EFF"/>
    <w:rsid w:val="00317833"/>
    <w:rsid w:val="00325124"/>
    <w:rsid w:val="0033575D"/>
    <w:rsid w:val="00337669"/>
    <w:rsid w:val="003421EC"/>
    <w:rsid w:val="00346AD4"/>
    <w:rsid w:val="00362B10"/>
    <w:rsid w:val="00384ED9"/>
    <w:rsid w:val="003865F8"/>
    <w:rsid w:val="00392B55"/>
    <w:rsid w:val="003A231F"/>
    <w:rsid w:val="003A2926"/>
    <w:rsid w:val="003A2B6A"/>
    <w:rsid w:val="003A6A37"/>
    <w:rsid w:val="003D7528"/>
    <w:rsid w:val="003F2780"/>
    <w:rsid w:val="003F6334"/>
    <w:rsid w:val="004019B8"/>
    <w:rsid w:val="00402C31"/>
    <w:rsid w:val="004046FC"/>
    <w:rsid w:val="004059DF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75FA9"/>
    <w:rsid w:val="00480617"/>
    <w:rsid w:val="004840F6"/>
    <w:rsid w:val="00485B2C"/>
    <w:rsid w:val="00495514"/>
    <w:rsid w:val="004A26B5"/>
    <w:rsid w:val="004A5156"/>
    <w:rsid w:val="004D15C9"/>
    <w:rsid w:val="004D4448"/>
    <w:rsid w:val="004F0259"/>
    <w:rsid w:val="00522558"/>
    <w:rsid w:val="00534425"/>
    <w:rsid w:val="005433E0"/>
    <w:rsid w:val="00555FCF"/>
    <w:rsid w:val="00561A5B"/>
    <w:rsid w:val="00566BE9"/>
    <w:rsid w:val="005711CD"/>
    <w:rsid w:val="005A3CA4"/>
    <w:rsid w:val="005C0665"/>
    <w:rsid w:val="005C7F25"/>
    <w:rsid w:val="005D06A7"/>
    <w:rsid w:val="005D4C90"/>
    <w:rsid w:val="005D5B9F"/>
    <w:rsid w:val="00626639"/>
    <w:rsid w:val="00631002"/>
    <w:rsid w:val="00634939"/>
    <w:rsid w:val="006461F9"/>
    <w:rsid w:val="00671AE0"/>
    <w:rsid w:val="00677180"/>
    <w:rsid w:val="0069188A"/>
    <w:rsid w:val="006A62C1"/>
    <w:rsid w:val="006A63DE"/>
    <w:rsid w:val="006F4BE7"/>
    <w:rsid w:val="007055A1"/>
    <w:rsid w:val="007119E8"/>
    <w:rsid w:val="00730CFB"/>
    <w:rsid w:val="00731C1C"/>
    <w:rsid w:val="00742901"/>
    <w:rsid w:val="007516AD"/>
    <w:rsid w:val="00767896"/>
    <w:rsid w:val="007A39E5"/>
    <w:rsid w:val="007B1B46"/>
    <w:rsid w:val="007C405F"/>
    <w:rsid w:val="007C6EB2"/>
    <w:rsid w:val="007D1611"/>
    <w:rsid w:val="007E16FA"/>
    <w:rsid w:val="007E18CB"/>
    <w:rsid w:val="00834FD0"/>
    <w:rsid w:val="00860F94"/>
    <w:rsid w:val="00871734"/>
    <w:rsid w:val="00885810"/>
    <w:rsid w:val="0088745A"/>
    <w:rsid w:val="008922CA"/>
    <w:rsid w:val="008A4466"/>
    <w:rsid w:val="008A6372"/>
    <w:rsid w:val="008B24C1"/>
    <w:rsid w:val="008C6063"/>
    <w:rsid w:val="008D3BDA"/>
    <w:rsid w:val="008E0FD2"/>
    <w:rsid w:val="008F4609"/>
    <w:rsid w:val="00917D61"/>
    <w:rsid w:val="00920634"/>
    <w:rsid w:val="009324D5"/>
    <w:rsid w:val="00935A3C"/>
    <w:rsid w:val="00952F07"/>
    <w:rsid w:val="00954BBA"/>
    <w:rsid w:val="009561BF"/>
    <w:rsid w:val="00967A3B"/>
    <w:rsid w:val="009775D9"/>
    <w:rsid w:val="00982060"/>
    <w:rsid w:val="00993E3B"/>
    <w:rsid w:val="009A2FFA"/>
    <w:rsid w:val="009A3AC2"/>
    <w:rsid w:val="009A7A9A"/>
    <w:rsid w:val="009C4CAC"/>
    <w:rsid w:val="009D0165"/>
    <w:rsid w:val="00A10A67"/>
    <w:rsid w:val="00A11CB3"/>
    <w:rsid w:val="00A16B2F"/>
    <w:rsid w:val="00A2570B"/>
    <w:rsid w:val="00A43B27"/>
    <w:rsid w:val="00A50D1E"/>
    <w:rsid w:val="00A51BFC"/>
    <w:rsid w:val="00A53274"/>
    <w:rsid w:val="00A55A1B"/>
    <w:rsid w:val="00A5704B"/>
    <w:rsid w:val="00A743ED"/>
    <w:rsid w:val="00A800D1"/>
    <w:rsid w:val="00A86568"/>
    <w:rsid w:val="00AA2317"/>
    <w:rsid w:val="00AB1C28"/>
    <w:rsid w:val="00AB37CE"/>
    <w:rsid w:val="00AB49A5"/>
    <w:rsid w:val="00AB6EB9"/>
    <w:rsid w:val="00AC1B26"/>
    <w:rsid w:val="00AE215C"/>
    <w:rsid w:val="00AE5940"/>
    <w:rsid w:val="00AF01E2"/>
    <w:rsid w:val="00B12033"/>
    <w:rsid w:val="00B122E7"/>
    <w:rsid w:val="00B122ED"/>
    <w:rsid w:val="00B55E09"/>
    <w:rsid w:val="00B672C7"/>
    <w:rsid w:val="00B87542"/>
    <w:rsid w:val="00B92DDE"/>
    <w:rsid w:val="00BA53CA"/>
    <w:rsid w:val="00BA56DD"/>
    <w:rsid w:val="00BA6A0F"/>
    <w:rsid w:val="00BB179D"/>
    <w:rsid w:val="00BB6CA9"/>
    <w:rsid w:val="00BD123B"/>
    <w:rsid w:val="00BE00B0"/>
    <w:rsid w:val="00BE0D31"/>
    <w:rsid w:val="00BE2B77"/>
    <w:rsid w:val="00BE4B9D"/>
    <w:rsid w:val="00BF7DF7"/>
    <w:rsid w:val="00C30CE9"/>
    <w:rsid w:val="00C3362A"/>
    <w:rsid w:val="00C42A6A"/>
    <w:rsid w:val="00C510F6"/>
    <w:rsid w:val="00C65722"/>
    <w:rsid w:val="00C7335F"/>
    <w:rsid w:val="00C858A3"/>
    <w:rsid w:val="00CA17EF"/>
    <w:rsid w:val="00CA42AF"/>
    <w:rsid w:val="00CD5605"/>
    <w:rsid w:val="00CE1D21"/>
    <w:rsid w:val="00CF5A4D"/>
    <w:rsid w:val="00D060AE"/>
    <w:rsid w:val="00D13821"/>
    <w:rsid w:val="00D20E02"/>
    <w:rsid w:val="00D2297E"/>
    <w:rsid w:val="00D23048"/>
    <w:rsid w:val="00D32D16"/>
    <w:rsid w:val="00D47925"/>
    <w:rsid w:val="00D47F61"/>
    <w:rsid w:val="00D523B9"/>
    <w:rsid w:val="00D92D37"/>
    <w:rsid w:val="00DA19B1"/>
    <w:rsid w:val="00DA4EDD"/>
    <w:rsid w:val="00DD390C"/>
    <w:rsid w:val="00DE4471"/>
    <w:rsid w:val="00DE6734"/>
    <w:rsid w:val="00DF6A29"/>
    <w:rsid w:val="00E2483A"/>
    <w:rsid w:val="00E25AD2"/>
    <w:rsid w:val="00E263E5"/>
    <w:rsid w:val="00E27B4B"/>
    <w:rsid w:val="00E6295D"/>
    <w:rsid w:val="00E62C18"/>
    <w:rsid w:val="00E62C80"/>
    <w:rsid w:val="00EA3029"/>
    <w:rsid w:val="00EA576C"/>
    <w:rsid w:val="00EA6EFB"/>
    <w:rsid w:val="00EC67E5"/>
    <w:rsid w:val="00ED3481"/>
    <w:rsid w:val="00F0639D"/>
    <w:rsid w:val="00F077CF"/>
    <w:rsid w:val="00F1227A"/>
    <w:rsid w:val="00F14B08"/>
    <w:rsid w:val="00F26B4F"/>
    <w:rsid w:val="00F3263B"/>
    <w:rsid w:val="00F42091"/>
    <w:rsid w:val="00F50760"/>
    <w:rsid w:val="00F572C7"/>
    <w:rsid w:val="00F615E3"/>
    <w:rsid w:val="00F61A5B"/>
    <w:rsid w:val="00F7095C"/>
    <w:rsid w:val="00F75390"/>
    <w:rsid w:val="00FA7FCF"/>
    <w:rsid w:val="00FB185E"/>
    <w:rsid w:val="00FC00B4"/>
    <w:rsid w:val="00FC7F1C"/>
    <w:rsid w:val="00FD1EA7"/>
    <w:rsid w:val="00FD3684"/>
    <w:rsid w:val="00FD6C17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4A3EF172-87F6-6642-AD12-F95466C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referentiefunctie.dotx</Template>
  <TotalTime>5</TotalTime>
  <Pages>2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5049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8</cp:revision>
  <cp:lastPrinted>2018-07-19T09:22:00Z</cp:lastPrinted>
  <dcterms:created xsi:type="dcterms:W3CDTF">2018-10-12T11:38:00Z</dcterms:created>
  <dcterms:modified xsi:type="dcterms:W3CDTF">2019-01-23T15:18:00Z</dcterms:modified>
</cp:coreProperties>
</file>